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78" w:rsidRDefault="009A6778" w:rsidP="009A6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0"/>
          <w:szCs w:val="20"/>
        </w:rPr>
      </w:pPr>
      <w:bookmarkStart w:id="0" w:name="_GoBack"/>
    </w:p>
    <w:p w:rsidR="009A6778" w:rsidRPr="009A6778" w:rsidRDefault="009A6778" w:rsidP="009A6778">
      <w:pPr>
        <w:spacing w:after="120" w:line="300" w:lineRule="auto"/>
        <w:jc w:val="center"/>
        <w:rPr>
          <w:rFonts w:ascii="Times New Roman" w:eastAsia="Times New Roman" w:hAnsi="Times New Roman" w:cs="Times New Roman"/>
          <w:b/>
          <w:bCs/>
          <w:snapToGrid w:val="0"/>
        </w:rPr>
      </w:pPr>
      <w:r w:rsidRPr="009A6778">
        <w:rPr>
          <w:rFonts w:ascii="Times New Roman" w:eastAsia="Times New Roman" w:hAnsi="Times New Roman" w:cs="Times New Roman"/>
          <w:b/>
          <w:bCs/>
          <w:snapToGrid w:val="0"/>
        </w:rPr>
        <w:t xml:space="preserve">ПЕРЕЧЕНЬ ТИПОВ ЦЕННЫХ БУМАГ </w:t>
      </w:r>
    </w:p>
    <w:p w:rsidR="009A6778" w:rsidRPr="009A6778" w:rsidRDefault="009A6778" w:rsidP="009A6778">
      <w:pPr>
        <w:spacing w:after="120" w:line="300" w:lineRule="auto"/>
        <w:jc w:val="center"/>
        <w:rPr>
          <w:rFonts w:ascii="Times New Roman" w:eastAsia="Times New Roman" w:hAnsi="Times New Roman" w:cs="Times New Roman"/>
          <w:b/>
          <w:bCs/>
          <w:snapToGrid w:val="0"/>
        </w:rPr>
      </w:pPr>
      <w:r w:rsidRPr="009A6778">
        <w:rPr>
          <w:rFonts w:ascii="Times New Roman" w:eastAsia="Times New Roman" w:hAnsi="Times New Roman" w:cs="Times New Roman"/>
          <w:b/>
          <w:bCs/>
          <w:snapToGrid w:val="0"/>
        </w:rPr>
        <w:t>ДЕПОЗИТАРИЯ АО «РАЙФФАЙЗЕНБАНК»</w:t>
      </w:r>
    </w:p>
    <w:p w:rsidR="009A6778" w:rsidRPr="009A6778" w:rsidRDefault="009A6778" w:rsidP="009A6778">
      <w:pPr>
        <w:spacing w:after="120" w:line="300" w:lineRule="auto"/>
        <w:jc w:val="center"/>
        <w:rPr>
          <w:rFonts w:ascii="Times New Roman" w:eastAsia="Times New Roman" w:hAnsi="Times New Roman" w:cs="Times New Roman"/>
          <w:b/>
          <w:bCs/>
          <w:snapToGrid w:val="0"/>
        </w:rPr>
      </w:pPr>
    </w:p>
    <w:p w:rsidR="009A6778" w:rsidRPr="009A6778" w:rsidRDefault="009A6778" w:rsidP="009A6778">
      <w:pPr>
        <w:tabs>
          <w:tab w:val="left" w:pos="0"/>
        </w:tabs>
        <w:spacing w:after="120" w:line="300" w:lineRule="auto"/>
        <w:jc w:val="center"/>
        <w:rPr>
          <w:rFonts w:ascii="Times New Roman" w:eastAsia="Times New Roman" w:hAnsi="Times New Roman" w:cs="Times New Roman"/>
          <w:snapToGrid w:val="0"/>
        </w:rPr>
      </w:pPr>
    </w:p>
    <w:p w:rsidR="009A6778" w:rsidRPr="009A6778" w:rsidRDefault="009A6778" w:rsidP="009A6778">
      <w:pPr>
        <w:numPr>
          <w:ilvl w:val="0"/>
          <w:numId w:val="1"/>
        </w:numPr>
        <w:autoSpaceDE w:val="0"/>
        <w:autoSpaceDN w:val="0"/>
        <w:spacing w:after="120" w:line="30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val="en-AU"/>
        </w:rPr>
      </w:pPr>
      <w:r w:rsidRPr="009A6778">
        <w:rPr>
          <w:rFonts w:ascii="Times New Roman" w:eastAsia="Times New Roman" w:hAnsi="Times New Roman" w:cs="Times New Roman"/>
          <w:b/>
          <w:bCs/>
          <w:snapToGrid w:val="0"/>
          <w:lang w:val="en-AU"/>
        </w:rPr>
        <w:t>Государственные ценные бумаги:</w:t>
      </w:r>
    </w:p>
    <w:p w:rsidR="009A6778" w:rsidRPr="009A6778" w:rsidRDefault="009A6778" w:rsidP="009A6778">
      <w:pPr>
        <w:numPr>
          <w:ilvl w:val="1"/>
          <w:numId w:val="1"/>
        </w:numPr>
        <w:autoSpaceDE w:val="0"/>
        <w:autoSpaceDN w:val="0"/>
        <w:spacing w:after="120" w:line="30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val="en-AU"/>
        </w:rPr>
      </w:pPr>
      <w:r w:rsidRPr="009A6778">
        <w:rPr>
          <w:rFonts w:ascii="Times New Roman" w:eastAsia="Times New Roman" w:hAnsi="Times New Roman" w:cs="Times New Roman"/>
          <w:snapToGrid w:val="0"/>
          <w:lang w:val="en-AU"/>
        </w:rPr>
        <w:t>Виды ценных бумаг:</w:t>
      </w:r>
    </w:p>
    <w:p w:rsidR="009A6778" w:rsidRPr="009A6778" w:rsidRDefault="009A6778" w:rsidP="009A6778">
      <w:pPr>
        <w:numPr>
          <w:ilvl w:val="2"/>
          <w:numId w:val="1"/>
        </w:numPr>
        <w:autoSpaceDE w:val="0"/>
        <w:autoSpaceDN w:val="0"/>
        <w:spacing w:after="120" w:line="300" w:lineRule="auto"/>
        <w:ind w:left="993"/>
        <w:jc w:val="both"/>
        <w:rPr>
          <w:rFonts w:ascii="Times New Roman" w:eastAsia="Times New Roman" w:hAnsi="Times New Roman" w:cs="Times New Roman"/>
          <w:snapToGrid w:val="0"/>
        </w:rPr>
      </w:pPr>
      <w:r w:rsidRPr="009A6778">
        <w:rPr>
          <w:rFonts w:ascii="Times New Roman" w:eastAsia="Times New Roman" w:hAnsi="Times New Roman" w:cs="Times New Roman"/>
          <w:snapToGrid w:val="0"/>
        </w:rPr>
        <w:t xml:space="preserve">Облигации и иные долговые ценные бумаги Российской Федерации и субъектов Российской Федерации, выпущенные в валюте РФ или в иностранной валюте и принятые к обслуживанию в НКО АО НРД, международных клиринговых центрах – </w:t>
      </w:r>
      <w:r w:rsidRPr="009A6778">
        <w:rPr>
          <w:rFonts w:ascii="Times New Roman" w:eastAsia="Times New Roman" w:hAnsi="Times New Roman" w:cs="Times New Roman"/>
          <w:snapToGrid w:val="0"/>
          <w:lang w:val="en-AU"/>
        </w:rPr>
        <w:t>EuroClear</w:t>
      </w:r>
      <w:r w:rsidRPr="009A6778">
        <w:rPr>
          <w:rFonts w:ascii="Times New Roman" w:eastAsia="Times New Roman" w:hAnsi="Times New Roman" w:cs="Times New Roman"/>
          <w:snapToGrid w:val="0"/>
        </w:rPr>
        <w:t xml:space="preserve"> </w:t>
      </w:r>
      <w:r w:rsidRPr="009A6778">
        <w:rPr>
          <w:rFonts w:ascii="Times New Roman" w:eastAsia="Times New Roman" w:hAnsi="Times New Roman" w:cs="Times New Roman"/>
          <w:snapToGrid w:val="0"/>
          <w:lang w:val="en-US"/>
        </w:rPr>
        <w:t>S</w:t>
      </w:r>
      <w:r w:rsidRPr="009A6778">
        <w:rPr>
          <w:rFonts w:ascii="Times New Roman" w:eastAsia="Times New Roman" w:hAnsi="Times New Roman" w:cs="Times New Roman"/>
          <w:snapToGrid w:val="0"/>
        </w:rPr>
        <w:t>.</w:t>
      </w:r>
      <w:r w:rsidRPr="009A6778">
        <w:rPr>
          <w:rFonts w:ascii="Times New Roman" w:eastAsia="Times New Roman" w:hAnsi="Times New Roman" w:cs="Times New Roman"/>
          <w:snapToGrid w:val="0"/>
          <w:lang w:val="en-US"/>
        </w:rPr>
        <w:t>A</w:t>
      </w:r>
      <w:r w:rsidRPr="009A6778">
        <w:rPr>
          <w:rFonts w:ascii="Times New Roman" w:eastAsia="Times New Roman" w:hAnsi="Times New Roman" w:cs="Times New Roman"/>
          <w:snapToGrid w:val="0"/>
        </w:rPr>
        <w:t>. (</w:t>
      </w:r>
      <w:r w:rsidRPr="009A6778">
        <w:rPr>
          <w:rFonts w:ascii="Times New Roman" w:eastAsia="Times New Roman" w:hAnsi="Times New Roman" w:cs="Times New Roman"/>
          <w:snapToGrid w:val="0"/>
          <w:lang w:val="en-US"/>
        </w:rPr>
        <w:t>Brussels</w:t>
      </w:r>
      <w:r w:rsidRPr="009A6778">
        <w:rPr>
          <w:rFonts w:ascii="Times New Roman" w:eastAsia="Times New Roman" w:hAnsi="Times New Roman" w:cs="Times New Roman"/>
          <w:snapToGrid w:val="0"/>
        </w:rPr>
        <w:t xml:space="preserve">) и </w:t>
      </w:r>
      <w:r w:rsidRPr="009A6778">
        <w:rPr>
          <w:rFonts w:ascii="Times New Roman" w:eastAsia="Times New Roman" w:hAnsi="Times New Roman" w:cs="Times New Roman"/>
          <w:snapToGrid w:val="0"/>
          <w:lang w:val="en-AU"/>
        </w:rPr>
        <w:t>Clearstream</w:t>
      </w:r>
      <w:r w:rsidRPr="009A6778">
        <w:rPr>
          <w:rFonts w:ascii="Times New Roman" w:eastAsia="Times New Roman" w:hAnsi="Times New Roman" w:cs="Times New Roman"/>
          <w:snapToGrid w:val="0"/>
        </w:rPr>
        <w:t xml:space="preserve"> </w:t>
      </w:r>
      <w:r w:rsidRPr="009A6778">
        <w:rPr>
          <w:rFonts w:ascii="Times New Roman" w:eastAsia="Times New Roman" w:hAnsi="Times New Roman" w:cs="Times New Roman"/>
          <w:snapToGrid w:val="0"/>
          <w:lang w:val="en-US"/>
        </w:rPr>
        <w:t>Banking</w:t>
      </w:r>
      <w:r w:rsidRPr="009A6778">
        <w:rPr>
          <w:rFonts w:ascii="Times New Roman" w:eastAsia="Times New Roman" w:hAnsi="Times New Roman" w:cs="Times New Roman"/>
          <w:snapToGrid w:val="0"/>
        </w:rPr>
        <w:t xml:space="preserve"> </w:t>
      </w:r>
      <w:r w:rsidRPr="009A6778">
        <w:rPr>
          <w:rFonts w:ascii="Times New Roman" w:eastAsia="Times New Roman" w:hAnsi="Times New Roman" w:cs="Times New Roman"/>
          <w:snapToGrid w:val="0"/>
          <w:lang w:val="en-US"/>
        </w:rPr>
        <w:t>SA</w:t>
      </w:r>
      <w:r w:rsidRPr="009A6778">
        <w:rPr>
          <w:rFonts w:ascii="Times New Roman" w:eastAsia="Times New Roman" w:hAnsi="Times New Roman" w:cs="Times New Roman"/>
          <w:snapToGrid w:val="0"/>
        </w:rPr>
        <w:t xml:space="preserve"> (</w:t>
      </w:r>
      <w:r w:rsidRPr="009A6778">
        <w:rPr>
          <w:rFonts w:ascii="Times New Roman" w:eastAsia="Times New Roman" w:hAnsi="Times New Roman" w:cs="Times New Roman"/>
          <w:snapToGrid w:val="0"/>
          <w:lang w:val="en-US"/>
        </w:rPr>
        <w:t>Luxemburg</w:t>
      </w:r>
      <w:r w:rsidRPr="009A6778">
        <w:rPr>
          <w:rFonts w:ascii="Times New Roman" w:eastAsia="Times New Roman" w:hAnsi="Times New Roman" w:cs="Times New Roman"/>
          <w:snapToGrid w:val="0"/>
        </w:rPr>
        <w:t>) (далее – «Международные клиринговые центры»).</w:t>
      </w:r>
    </w:p>
    <w:p w:rsidR="009A6778" w:rsidRPr="009A6778" w:rsidRDefault="009A6778" w:rsidP="009A6778">
      <w:pPr>
        <w:numPr>
          <w:ilvl w:val="2"/>
          <w:numId w:val="1"/>
        </w:numPr>
        <w:autoSpaceDE w:val="0"/>
        <w:autoSpaceDN w:val="0"/>
        <w:spacing w:after="120" w:line="300" w:lineRule="auto"/>
        <w:ind w:left="993"/>
        <w:jc w:val="both"/>
        <w:rPr>
          <w:rFonts w:ascii="Times New Roman" w:eastAsia="Times New Roman" w:hAnsi="Times New Roman" w:cs="Times New Roman"/>
          <w:snapToGrid w:val="0"/>
        </w:rPr>
      </w:pPr>
      <w:r w:rsidRPr="009A6778">
        <w:rPr>
          <w:rFonts w:ascii="Times New Roman" w:eastAsia="Times New Roman" w:hAnsi="Times New Roman" w:cs="Times New Roman"/>
          <w:snapToGrid w:val="0"/>
        </w:rPr>
        <w:t>Облигации и иные долговые бумаги иностранных государств, выпущенные в иностранной валюте и принятые к обслуживанию в НКО АО НРД, Международных клиринговых центрах и прочих организациях, осуществляющих учет прав на ценные бумаги, доступ к которым есть у Депозитария.</w:t>
      </w:r>
    </w:p>
    <w:p w:rsidR="009A6778" w:rsidRPr="009A6778" w:rsidRDefault="009A6778" w:rsidP="009A6778">
      <w:pPr>
        <w:numPr>
          <w:ilvl w:val="1"/>
          <w:numId w:val="1"/>
        </w:numPr>
        <w:autoSpaceDE w:val="0"/>
        <w:autoSpaceDN w:val="0"/>
        <w:spacing w:after="120" w:line="300" w:lineRule="auto"/>
        <w:ind w:left="567"/>
        <w:jc w:val="both"/>
        <w:rPr>
          <w:rFonts w:ascii="Times New Roman" w:eastAsia="Times New Roman" w:hAnsi="Times New Roman" w:cs="Times New Roman"/>
          <w:snapToGrid w:val="0"/>
        </w:rPr>
      </w:pPr>
      <w:r w:rsidRPr="009A6778">
        <w:rPr>
          <w:rFonts w:ascii="Times New Roman" w:eastAsia="Times New Roman" w:hAnsi="Times New Roman" w:cs="Times New Roman"/>
          <w:snapToGrid w:val="0"/>
        </w:rPr>
        <w:t>Услуги, оказываемые Депозитарием в отношении вышеуказанных ценных бумаг: Учет прав, операции по поставке/получению ценных бумаг, получение выплат по ценным бумагам, информационные услуги.</w:t>
      </w:r>
    </w:p>
    <w:p w:rsidR="009A6778" w:rsidRPr="009A6778" w:rsidRDefault="009A6778" w:rsidP="009A6778">
      <w:pPr>
        <w:tabs>
          <w:tab w:val="left" w:pos="0"/>
        </w:tabs>
        <w:spacing w:after="120" w:line="300" w:lineRule="auto"/>
        <w:jc w:val="center"/>
        <w:rPr>
          <w:rFonts w:ascii="Times New Roman" w:eastAsia="Times New Roman" w:hAnsi="Times New Roman" w:cs="Times New Roman"/>
          <w:snapToGrid w:val="0"/>
        </w:rPr>
      </w:pPr>
    </w:p>
    <w:p w:rsidR="009A6778" w:rsidRPr="009A6778" w:rsidRDefault="009A6778" w:rsidP="009A6778">
      <w:pPr>
        <w:numPr>
          <w:ilvl w:val="0"/>
          <w:numId w:val="1"/>
        </w:numPr>
        <w:autoSpaceDE w:val="0"/>
        <w:autoSpaceDN w:val="0"/>
        <w:spacing w:after="120" w:line="300" w:lineRule="auto"/>
        <w:ind w:left="567"/>
        <w:jc w:val="both"/>
        <w:rPr>
          <w:rFonts w:ascii="Times New Roman" w:eastAsia="Times New Roman" w:hAnsi="Times New Roman" w:cs="Times New Roman"/>
          <w:b/>
          <w:bCs/>
          <w:snapToGrid w:val="0"/>
          <w:lang w:val="en-AU"/>
        </w:rPr>
      </w:pPr>
      <w:r w:rsidRPr="009A6778">
        <w:rPr>
          <w:rFonts w:ascii="Times New Roman" w:eastAsia="Times New Roman" w:hAnsi="Times New Roman" w:cs="Times New Roman"/>
          <w:b/>
          <w:bCs/>
          <w:snapToGrid w:val="0"/>
          <w:lang w:val="en-AU"/>
        </w:rPr>
        <w:t>Негосударственные ценные бумаги:</w:t>
      </w:r>
    </w:p>
    <w:p w:rsidR="009A6778" w:rsidRPr="009A6778" w:rsidRDefault="009A6778" w:rsidP="009A6778">
      <w:pPr>
        <w:numPr>
          <w:ilvl w:val="1"/>
          <w:numId w:val="1"/>
        </w:numPr>
        <w:autoSpaceDE w:val="0"/>
        <w:autoSpaceDN w:val="0"/>
        <w:spacing w:after="120" w:line="30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val="en-AU"/>
        </w:rPr>
      </w:pPr>
      <w:r w:rsidRPr="009A6778">
        <w:rPr>
          <w:rFonts w:ascii="Times New Roman" w:eastAsia="Times New Roman" w:hAnsi="Times New Roman" w:cs="Times New Roman"/>
          <w:snapToGrid w:val="0"/>
          <w:lang w:val="en-AU"/>
        </w:rPr>
        <w:t>Виды бездокументарные ценные бумаги:</w:t>
      </w:r>
    </w:p>
    <w:p w:rsidR="009A6778" w:rsidRPr="009A6778" w:rsidRDefault="009A6778" w:rsidP="009A6778">
      <w:pPr>
        <w:numPr>
          <w:ilvl w:val="2"/>
          <w:numId w:val="1"/>
        </w:numPr>
        <w:autoSpaceDE w:val="0"/>
        <w:autoSpaceDN w:val="0"/>
        <w:spacing w:after="120" w:line="300" w:lineRule="auto"/>
        <w:ind w:left="993"/>
        <w:jc w:val="both"/>
        <w:rPr>
          <w:rFonts w:ascii="Times New Roman" w:eastAsia="Times New Roman" w:hAnsi="Times New Roman" w:cs="Times New Roman"/>
          <w:snapToGrid w:val="0"/>
        </w:rPr>
      </w:pPr>
      <w:r w:rsidRPr="009A6778">
        <w:rPr>
          <w:rFonts w:ascii="Times New Roman" w:eastAsia="Times New Roman" w:hAnsi="Times New Roman" w:cs="Times New Roman"/>
          <w:snapToGrid w:val="0"/>
        </w:rPr>
        <w:t>Акции российских юридических лиц и инвестиционные паи паевых инвестиционных фондов;</w:t>
      </w:r>
    </w:p>
    <w:p w:rsidR="009A6778" w:rsidRPr="009A6778" w:rsidRDefault="009A6778" w:rsidP="009A6778">
      <w:pPr>
        <w:numPr>
          <w:ilvl w:val="2"/>
          <w:numId w:val="1"/>
        </w:numPr>
        <w:autoSpaceDE w:val="0"/>
        <w:autoSpaceDN w:val="0"/>
        <w:spacing w:after="120" w:line="300" w:lineRule="auto"/>
        <w:ind w:left="993"/>
        <w:jc w:val="both"/>
        <w:rPr>
          <w:rFonts w:ascii="Times New Roman" w:eastAsia="Times New Roman" w:hAnsi="Times New Roman" w:cs="Times New Roman"/>
          <w:snapToGrid w:val="0"/>
        </w:rPr>
      </w:pPr>
      <w:r w:rsidRPr="009A6778">
        <w:rPr>
          <w:rFonts w:ascii="Times New Roman" w:eastAsia="Times New Roman" w:hAnsi="Times New Roman" w:cs="Times New Roman"/>
          <w:snapToGrid w:val="0"/>
        </w:rPr>
        <w:t>Облигации юридических лиц – резидентов Российской Федерации, выпущенные в валюте РФ и принятые к обслуживанию в НКО АО НРД;</w:t>
      </w:r>
    </w:p>
    <w:p w:rsidR="009A6778" w:rsidRPr="009A6778" w:rsidRDefault="009A6778" w:rsidP="009A6778">
      <w:pPr>
        <w:numPr>
          <w:ilvl w:val="2"/>
          <w:numId w:val="1"/>
        </w:numPr>
        <w:autoSpaceDE w:val="0"/>
        <w:autoSpaceDN w:val="0"/>
        <w:spacing w:after="120" w:line="300" w:lineRule="auto"/>
        <w:ind w:left="993"/>
        <w:jc w:val="both"/>
        <w:rPr>
          <w:rFonts w:ascii="Times New Roman" w:eastAsia="Times New Roman" w:hAnsi="Times New Roman" w:cs="Times New Roman"/>
          <w:snapToGrid w:val="0"/>
        </w:rPr>
      </w:pPr>
      <w:r w:rsidRPr="009A6778">
        <w:rPr>
          <w:rFonts w:ascii="Times New Roman" w:eastAsia="Times New Roman" w:hAnsi="Times New Roman" w:cs="Times New Roman"/>
          <w:snapToGrid w:val="0"/>
        </w:rPr>
        <w:t xml:space="preserve">Иностранные финансовые инструменты, которые квалифицированы в качестве ценных бумаг в соответствии со </w:t>
      </w:r>
      <w:hyperlink r:id="rId7" w:history="1">
        <w:r w:rsidRPr="009A6778">
          <w:rPr>
            <w:rFonts w:ascii="Times New Roman" w:eastAsia="Times New Roman" w:hAnsi="Times New Roman" w:cs="Times New Roman"/>
            <w:snapToGrid w:val="0"/>
          </w:rPr>
          <w:t>статьей 44</w:t>
        </w:r>
      </w:hyperlink>
      <w:r w:rsidRPr="009A6778">
        <w:rPr>
          <w:rFonts w:ascii="Times New Roman" w:eastAsia="Times New Roman" w:hAnsi="Times New Roman" w:cs="Times New Roman"/>
          <w:snapToGrid w:val="0"/>
        </w:rPr>
        <w:t xml:space="preserve"> Федерального закона "О рынке ценных бумаг", и права на которые в соответствии с личным законом лица, обязанного по этим финансовым инструментам, могут учитываться на счетах, открытых в организациях, осуществляющих учет прав на ценные бумаги.</w:t>
      </w:r>
    </w:p>
    <w:p w:rsidR="009A6778" w:rsidRPr="009A6778" w:rsidRDefault="009A6778" w:rsidP="009A6778">
      <w:pPr>
        <w:numPr>
          <w:ilvl w:val="2"/>
          <w:numId w:val="1"/>
        </w:numPr>
        <w:autoSpaceDE w:val="0"/>
        <w:autoSpaceDN w:val="0"/>
        <w:spacing w:after="120" w:line="300" w:lineRule="auto"/>
        <w:ind w:left="993"/>
        <w:jc w:val="both"/>
        <w:rPr>
          <w:rFonts w:ascii="Times New Roman" w:eastAsia="Times New Roman" w:hAnsi="Times New Roman" w:cs="Times New Roman"/>
          <w:snapToGrid w:val="0"/>
        </w:rPr>
      </w:pPr>
      <w:r w:rsidRPr="009A6778">
        <w:rPr>
          <w:rFonts w:ascii="Times New Roman" w:eastAsia="Times New Roman" w:hAnsi="Times New Roman" w:cs="Times New Roman"/>
          <w:snapToGrid w:val="0"/>
        </w:rPr>
        <w:t>Паи и акции иностранных инвестиционных фондов.</w:t>
      </w:r>
    </w:p>
    <w:p w:rsidR="009A6778" w:rsidRPr="009A6778" w:rsidRDefault="009A6778" w:rsidP="009A6778">
      <w:pPr>
        <w:numPr>
          <w:ilvl w:val="1"/>
          <w:numId w:val="1"/>
        </w:numPr>
        <w:autoSpaceDE w:val="0"/>
        <w:autoSpaceDN w:val="0"/>
        <w:spacing w:after="120" w:line="300" w:lineRule="auto"/>
        <w:ind w:left="567"/>
        <w:jc w:val="both"/>
        <w:rPr>
          <w:rFonts w:ascii="Times New Roman" w:eastAsia="Times New Roman" w:hAnsi="Times New Roman" w:cs="Times New Roman"/>
          <w:snapToGrid w:val="0"/>
        </w:rPr>
      </w:pPr>
      <w:r w:rsidRPr="009A6778">
        <w:rPr>
          <w:rFonts w:ascii="Times New Roman" w:eastAsia="Times New Roman" w:hAnsi="Times New Roman" w:cs="Times New Roman"/>
          <w:snapToGrid w:val="0"/>
        </w:rPr>
        <w:t>Услуги, оказываемые Депозитарием в отношении вышеуказанных ценных бумаг и финансовых инструментов: Хранение (открытое) и/или учет прав, операции по поставке/получению, регистрация залога (на основании дополнительного соглашения), получение выплат по ценным бумагам, перерегистрация прав собственности, исполнение корпоративных действий эмитента, участие в собраниях акционеров (на основании дополнительного соглашения), информационные услуги.</w:t>
      </w:r>
    </w:p>
    <w:bookmarkEnd w:id="0"/>
    <w:p w:rsidR="00D159BD" w:rsidRPr="009A6778" w:rsidRDefault="000E6154" w:rsidP="009A6778">
      <w:pPr>
        <w:spacing w:after="120" w:line="300" w:lineRule="auto"/>
      </w:pPr>
    </w:p>
    <w:sectPr w:rsidR="00D159BD" w:rsidRPr="009A6778" w:rsidSect="00EB644E">
      <w:headerReference w:type="default" r:id="rId8"/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B" w:rsidRPr="000E6154" w:rsidRDefault="00C5741B" w:rsidP="00C5741B">
    <w:pPr>
      <w:pStyle w:val="a3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0E6154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Приложение </w:t>
    </w:r>
    <w:r w:rsidR="009A6778" w:rsidRPr="000E6154">
      <w:rPr>
        <w:rFonts w:ascii="Times New Roman" w:eastAsia="Times New Roman" w:hAnsi="Times New Roman" w:cs="Times New Roman"/>
        <w:sz w:val="20"/>
        <w:szCs w:val="20"/>
        <w:lang w:eastAsia="ru-RU"/>
      </w:rPr>
      <w:t>10</w:t>
    </w:r>
  </w:p>
  <w:p w:rsidR="00C5741B" w:rsidRPr="000E6154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0E6154">
      <w:rPr>
        <w:rFonts w:ascii="Times New Roman" w:eastAsia="Times New Roman" w:hAnsi="Times New Roman" w:cs="Times New Roman"/>
        <w:sz w:val="20"/>
        <w:szCs w:val="20"/>
        <w:lang w:eastAsia="ru-RU"/>
      </w:rPr>
      <w:t>к Условиям осуществления депозитарной деятельности АО «Райффайзенбанк»</w:t>
    </w:r>
  </w:p>
  <w:p w:rsidR="00C5741B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C65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E6154"/>
    <w:rsid w:val="001A461B"/>
    <w:rsid w:val="00221A2E"/>
    <w:rsid w:val="00234FD8"/>
    <w:rsid w:val="002523DC"/>
    <w:rsid w:val="002A0E12"/>
    <w:rsid w:val="002D6C5B"/>
    <w:rsid w:val="00336730"/>
    <w:rsid w:val="004059D9"/>
    <w:rsid w:val="00503BE9"/>
    <w:rsid w:val="005B6597"/>
    <w:rsid w:val="006669EB"/>
    <w:rsid w:val="0076719B"/>
    <w:rsid w:val="007E306F"/>
    <w:rsid w:val="00815EC4"/>
    <w:rsid w:val="00846F43"/>
    <w:rsid w:val="008D38DC"/>
    <w:rsid w:val="00977BD3"/>
    <w:rsid w:val="009A6778"/>
    <w:rsid w:val="009C7E2D"/>
    <w:rsid w:val="009D3946"/>
    <w:rsid w:val="009E75A8"/>
    <w:rsid w:val="00A35A06"/>
    <w:rsid w:val="00A61203"/>
    <w:rsid w:val="00A74EE8"/>
    <w:rsid w:val="00AC252F"/>
    <w:rsid w:val="00AF3888"/>
    <w:rsid w:val="00B1267E"/>
    <w:rsid w:val="00BE0A03"/>
    <w:rsid w:val="00C06B5E"/>
    <w:rsid w:val="00C30A6B"/>
    <w:rsid w:val="00C5741B"/>
    <w:rsid w:val="00CE440C"/>
    <w:rsid w:val="00D96E13"/>
    <w:rsid w:val="00DE6B3A"/>
    <w:rsid w:val="00E102C8"/>
    <w:rsid w:val="00EA225E"/>
    <w:rsid w:val="00EB644E"/>
    <w:rsid w:val="00F267FF"/>
    <w:rsid w:val="00F67104"/>
    <w:rsid w:val="00FC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741B"/>
  </w:style>
  <w:style w:type="paragraph" w:styleId="a5">
    <w:name w:val="footer"/>
    <w:basedOn w:val="a"/>
    <w:link w:val="a6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6C7B43705B4D3A728935F6726ED05F0AC74E6F5CC760707B7A32D08220EBD25461393BBD5CO207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PECHERIN Aleksandr</cp:lastModifiedBy>
  <cp:revision>34</cp:revision>
  <dcterms:created xsi:type="dcterms:W3CDTF">2021-08-24T17:38:00Z</dcterms:created>
  <dcterms:modified xsi:type="dcterms:W3CDTF">2021-08-30T10:39:00Z</dcterms:modified>
</cp:coreProperties>
</file>